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</w:t>
      </w:r>
      <w:r w:rsidR="00BA6C48">
        <w:rPr>
          <w:rFonts w:ascii="Arial" w:eastAsia="Times New Roman" w:hAnsi="Arial" w:cs="Arial"/>
          <w:color w:val="0F243E"/>
          <w:lang w:eastAsia="pl-PL"/>
        </w:rPr>
        <w:t>2</w:t>
      </w:r>
      <w:r w:rsidRPr="00C60D28">
        <w:rPr>
          <w:rFonts w:ascii="Arial" w:eastAsia="Times New Roman" w:hAnsi="Arial" w:cs="Arial"/>
          <w:color w:val="0F243E"/>
          <w:lang w:eastAsia="pl-PL"/>
        </w:rPr>
        <w:t xml:space="preserve"> r. poz. </w:t>
      </w:r>
      <w:r w:rsidR="00BA6C48">
        <w:rPr>
          <w:rFonts w:ascii="Arial" w:eastAsia="Times New Roman" w:hAnsi="Arial" w:cs="Arial"/>
          <w:color w:val="0F243E"/>
          <w:lang w:eastAsia="pl-PL"/>
        </w:rPr>
        <w:t>1710</w:t>
      </w:r>
      <w:r w:rsidRPr="00C60D28">
        <w:rPr>
          <w:rFonts w:ascii="Arial" w:eastAsia="Times New Roman" w:hAnsi="Arial" w:cs="Arial"/>
          <w:color w:val="0F243E"/>
          <w:lang w:eastAsia="pl-PL"/>
        </w:rPr>
        <w:t>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011B55" w:rsidRPr="00BA6C48" w:rsidRDefault="00395247" w:rsidP="00BA6C48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A6C48">
        <w:rPr>
          <w:rFonts w:ascii="Arial" w:hAnsi="Arial" w:cs="Arial"/>
          <w:color w:val="00192F" w:themeColor="background2" w:themeShade="1A"/>
        </w:rPr>
        <w:t>Przedmiotem Umowy, jest</w:t>
      </w:r>
      <w:r w:rsidRPr="00BA6C48">
        <w:rPr>
          <w:rFonts w:ascii="Arial" w:hAnsi="Arial" w:cs="Arial"/>
          <w:color w:val="272D37" w:themeColor="text2" w:themeShade="80"/>
        </w:rPr>
        <w:t xml:space="preserve">: </w:t>
      </w:r>
      <w:r w:rsidR="00011B55" w:rsidRPr="00BA6C48">
        <w:rPr>
          <w:rFonts w:ascii="Arial" w:hAnsi="Arial" w:cs="Arial"/>
          <w:color w:val="272D37" w:themeColor="text2" w:themeShade="80"/>
        </w:rPr>
        <w:t xml:space="preserve"> </w:t>
      </w:r>
      <w:r w:rsidR="00011B55" w:rsidRPr="00BA6C48">
        <w:rPr>
          <w:rFonts w:ascii="Arial" w:hAnsi="Arial" w:cs="Arial"/>
          <w:b/>
          <w:color w:val="003E75" w:themeColor="background2" w:themeShade="40"/>
        </w:rPr>
        <w:t xml:space="preserve">„Wykonanie </w:t>
      </w:r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monitoringu  stanu ochrony siedliska przyrodniczego 3110 Jeziora </w:t>
      </w:r>
      <w:proofErr w:type="spellStart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>lobeliowe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i monitoring stanu ochrony gatunku 1831 </w:t>
      </w:r>
      <w:proofErr w:type="spellStart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>elisma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wodna </w:t>
      </w:r>
      <w:proofErr w:type="spellStart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>Luronium</w:t>
      </w:r>
      <w:proofErr w:type="spellEnd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 xml:space="preserve"> </w:t>
      </w:r>
      <w:proofErr w:type="spellStart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>natas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BA6C48" w:rsidRPr="00BA6C48" w:rsidRDefault="00011B55" w:rsidP="00BA6C48">
      <w:pPr>
        <w:pStyle w:val="AR1"/>
        <w:numPr>
          <w:ilvl w:val="0"/>
          <w:numId w:val="39"/>
        </w:numPr>
        <w:ind w:left="284" w:hanging="284"/>
        <w:rPr>
          <w:color w:val="272D37" w:themeColor="text2" w:themeShade="80"/>
        </w:rPr>
      </w:pPr>
      <w:r w:rsidRPr="00BA6C48">
        <w:rPr>
          <w:color w:val="00192F" w:themeColor="background2" w:themeShade="1A"/>
          <w:sz w:val="22"/>
          <w:szCs w:val="22"/>
        </w:rPr>
        <w:t xml:space="preserve">Monitoringiem należy objąć </w:t>
      </w:r>
      <w:r w:rsidR="00BA6C48" w:rsidRPr="00BA6C48">
        <w:rPr>
          <w:color w:val="00192F" w:themeColor="background2" w:themeShade="1A"/>
          <w:sz w:val="22"/>
          <w:szCs w:val="22"/>
        </w:rPr>
        <w:t xml:space="preserve"> Jezioro Wielkie Oczko.</w:t>
      </w:r>
    </w:p>
    <w:p w:rsidR="00955087" w:rsidRPr="00BA6C48" w:rsidRDefault="00011B55" w:rsidP="00BA6C48">
      <w:pPr>
        <w:pStyle w:val="AR1"/>
        <w:numPr>
          <w:ilvl w:val="0"/>
          <w:numId w:val="39"/>
        </w:numPr>
        <w:ind w:left="284" w:hanging="284"/>
        <w:rPr>
          <w:color w:val="272D37" w:themeColor="text2" w:themeShade="80"/>
        </w:rPr>
      </w:pPr>
      <w:r w:rsidRPr="00BA6C48">
        <w:rPr>
          <w:color w:val="272D37" w:themeColor="text2" w:themeShade="80"/>
        </w:rPr>
        <w:t xml:space="preserve">Szczegółowy opis Przedmiotu Umowy zawiera Załącznik nr 1 do SWZ i do </w:t>
      </w:r>
      <w:r w:rsidR="00BA6C48" w:rsidRPr="00BA6C48">
        <w:rPr>
          <w:color w:val="272D37" w:themeColor="text2" w:themeShade="80"/>
        </w:rPr>
        <w:t>U</w:t>
      </w:r>
      <w:r w:rsidRPr="00BA6C48">
        <w:rPr>
          <w:color w:val="272D37" w:themeColor="text2" w:themeShade="80"/>
        </w:rPr>
        <w:t xml:space="preserve">mowy, stanowiący jej integralną część. 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2D2550" w:rsidRPr="00170233" w:rsidRDefault="002D2550" w:rsidP="00170233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170233">
        <w:rPr>
          <w:rFonts w:ascii="Arial" w:hAnsi="Arial" w:cs="Arial"/>
          <w:color w:val="272D37" w:themeColor="text2" w:themeShade="80"/>
        </w:rPr>
        <w:lastRenderedPageBreak/>
        <w:t>Przedmiot Umowy</w:t>
      </w:r>
      <w:r w:rsidR="00170233">
        <w:rPr>
          <w:rFonts w:ascii="Arial" w:hAnsi="Arial" w:cs="Arial"/>
          <w:color w:val="272D37" w:themeColor="text2" w:themeShade="80"/>
        </w:rPr>
        <w:t xml:space="preserve"> (wersję tekstową i elektroniczną)</w:t>
      </w:r>
      <w:r w:rsidRPr="00170233">
        <w:rPr>
          <w:rFonts w:ascii="Arial" w:hAnsi="Arial" w:cs="Arial"/>
          <w:color w:val="272D37" w:themeColor="text2" w:themeShade="80"/>
        </w:rPr>
        <w:t xml:space="preserve"> należy wykonać do </w:t>
      </w:r>
      <w:r w:rsidR="00A529B5">
        <w:rPr>
          <w:rFonts w:ascii="Arial" w:hAnsi="Arial" w:cs="Arial"/>
          <w:b/>
          <w:color w:val="272D37" w:themeColor="text2" w:themeShade="80"/>
        </w:rPr>
        <w:t xml:space="preserve"> 25</w:t>
      </w:r>
      <w:r w:rsidR="00170233">
        <w:rPr>
          <w:rFonts w:ascii="Arial" w:hAnsi="Arial" w:cs="Arial"/>
          <w:b/>
          <w:color w:val="272D37" w:themeColor="text2" w:themeShade="80"/>
        </w:rPr>
        <w:t xml:space="preserve"> listopada</w:t>
      </w:r>
      <w:r w:rsidRPr="00170233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 w:rsidRPr="00170233">
        <w:rPr>
          <w:rFonts w:ascii="Arial" w:hAnsi="Arial" w:cs="Arial"/>
          <w:b/>
          <w:color w:val="272D37" w:themeColor="text2" w:themeShade="80"/>
        </w:rPr>
        <w:t xml:space="preserve"> </w:t>
      </w:r>
      <w:r w:rsidR="00170233">
        <w:rPr>
          <w:rFonts w:ascii="Arial" w:hAnsi="Arial" w:cs="Arial"/>
          <w:color w:val="272D37" w:themeColor="text2" w:themeShade="80"/>
        </w:rPr>
        <w:t xml:space="preserve"> </w:t>
      </w:r>
    </w:p>
    <w:p w:rsidR="00555DB3" w:rsidRPr="00170233" w:rsidRDefault="00170233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 xml:space="preserve">Inwentaryzacje </w:t>
      </w:r>
      <w:r w:rsidR="00B331FB" w:rsidRPr="00170233">
        <w:rPr>
          <w:rFonts w:ascii="Arial" w:hAnsi="Arial" w:cs="Arial"/>
          <w:color w:val="272D37" w:themeColor="text2" w:themeShade="80"/>
        </w:rPr>
        <w:t xml:space="preserve"> terenowe </w:t>
      </w:r>
      <w:r w:rsidR="000B726F" w:rsidRPr="00170233">
        <w:rPr>
          <w:rFonts w:ascii="Arial" w:hAnsi="Arial" w:cs="Arial"/>
          <w:color w:val="272D37" w:themeColor="text2" w:themeShade="80"/>
        </w:rPr>
        <w:t xml:space="preserve">należy wykonać w terminie </w:t>
      </w:r>
      <w:r>
        <w:rPr>
          <w:rFonts w:ascii="Arial" w:hAnsi="Arial" w:cs="Arial"/>
          <w:b/>
          <w:color w:val="272D37" w:themeColor="text2" w:themeShade="80"/>
        </w:rPr>
        <w:t>do końca października</w:t>
      </w:r>
      <w:r w:rsidR="000B726F" w:rsidRPr="00170233">
        <w:rPr>
          <w:rFonts w:ascii="Arial" w:hAnsi="Arial" w:cs="Arial"/>
          <w:b/>
          <w:color w:val="272D37" w:themeColor="text2" w:themeShade="80"/>
        </w:rPr>
        <w:t xml:space="preserve"> </w:t>
      </w:r>
      <w:r w:rsidR="00555DB3" w:rsidRPr="00170233">
        <w:rPr>
          <w:rFonts w:ascii="Arial" w:hAnsi="Arial" w:cs="Arial"/>
          <w:b/>
          <w:color w:val="272D37" w:themeColor="text2" w:themeShade="80"/>
        </w:rPr>
        <w:t xml:space="preserve"> 2022</w:t>
      </w:r>
      <w:r w:rsidR="00555DB3" w:rsidRPr="00170233">
        <w:rPr>
          <w:rFonts w:ascii="Arial" w:hAnsi="Arial" w:cs="Arial"/>
          <w:color w:val="272D37" w:themeColor="text2" w:themeShade="80"/>
        </w:rPr>
        <w:t xml:space="preserve">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0D0C38" w:rsidRPr="00541D3F" w:rsidRDefault="00541D3F" w:rsidP="00541D3F">
      <w:pPr>
        <w:pStyle w:val="AR1"/>
        <w:numPr>
          <w:ilvl w:val="0"/>
          <w:numId w:val="5"/>
        </w:numPr>
        <w:ind w:left="284" w:hanging="284"/>
        <w:rPr>
          <w:bCs/>
          <w:color w:val="00192F" w:themeColor="background2" w:themeShade="1A"/>
          <w:sz w:val="22"/>
          <w:szCs w:val="22"/>
        </w:rPr>
      </w:pPr>
      <w:r w:rsidRPr="00541D3F">
        <w:rPr>
          <w:bCs/>
          <w:color w:val="00192F" w:themeColor="background2" w:themeShade="1A"/>
          <w:sz w:val="22"/>
          <w:szCs w:val="22"/>
        </w:rPr>
        <w:t>Przed realizacją Przedmiotu Umowy Wykonawca uzyska zgodę właściciela zbiornika wodnego na wykonanie zleconych działań. RDOŚ w Gdańsku deklaruje pomoc w tym zakresie.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8F48E2" w:rsidRPr="00600609" w:rsidRDefault="00600609" w:rsidP="0060060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ponosi odpowiedzialność za  stosowanie w trakcie realizacji </w:t>
      </w:r>
      <w:r w:rsidR="00541D3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541D3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przepisów bhp i p.poż.</w:t>
      </w:r>
      <w:r w:rsidRPr="00600609">
        <w:rPr>
          <w:rFonts w:ascii="Arial" w:hAnsi="Arial" w:cs="Arial"/>
          <w:color w:val="272D37" w:themeColor="text2" w:themeShade="80"/>
        </w:rPr>
        <w:t xml:space="preserve"> </w:t>
      </w:r>
    </w:p>
    <w:p w:rsidR="00191D61" w:rsidRPr="008F48E2" w:rsidRDefault="008F48E2" w:rsidP="00600609">
      <w:pPr>
        <w:pStyle w:val="Akapitzlist"/>
        <w:numPr>
          <w:ilvl w:val="0"/>
          <w:numId w:val="5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fotografie w formacie JPG</w:t>
      </w:r>
      <w:r w:rsidR="00541D3F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rozdzielczość nie mniejsza niż 3264x2448 pikseli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</w:t>
      </w:r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GIS (.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shp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, 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dbf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, 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mdb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)</w:t>
      </w:r>
      <w:r w:rsidR="009149C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A41CFE" w:rsidRPr="00B651D8" w:rsidRDefault="00191D61" w:rsidP="009149CD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541D3F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541D3F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541D3F">
        <w:rPr>
          <w:rFonts w:ascii="Arial" w:hAnsi="Arial" w:cs="Arial"/>
          <w:color w:val="00192F" w:themeColor="background2" w:themeShade="1A"/>
        </w:rPr>
        <w:t>P</w:t>
      </w:r>
      <w:r w:rsidRPr="00541D3F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541D3F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541D3F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541D3F">
        <w:rPr>
          <w:rFonts w:ascii="Arial" w:hAnsi="Arial" w:cs="Arial"/>
          <w:color w:val="00192F" w:themeColor="background2" w:themeShade="1A"/>
        </w:rPr>
        <w:t>P</w:t>
      </w:r>
      <w:r w:rsidRPr="00541D3F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lastRenderedPageBreak/>
        <w:t xml:space="preserve">całkowita wartość przedmiotu </w:t>
      </w:r>
      <w:r w:rsidR="00850F32" w:rsidRPr="00B651D8">
        <w:rPr>
          <w:rFonts w:ascii="Arial" w:hAnsi="Arial" w:cs="Arial"/>
          <w:b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mowy wynosi: </w:t>
      </w:r>
      <w:r w:rsidR="001E296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% podatku VAT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zł.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541D3F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191DCF" w:rsidRPr="00191DCF">
        <w:rPr>
          <w:rFonts w:ascii="Arial" w:hAnsi="Arial" w:cs="Arial"/>
          <w:b/>
          <w:color w:val="00192F" w:themeColor="background2" w:themeShade="1A"/>
        </w:rPr>
        <w:t>14 listopada</w:t>
      </w:r>
      <w:r w:rsidR="00DE3E8A" w:rsidRPr="00191DCF">
        <w:rPr>
          <w:rFonts w:ascii="Arial" w:hAnsi="Arial" w:cs="Arial"/>
          <w:b/>
          <w:color w:val="00192F" w:themeColor="background2" w:themeShade="1A"/>
        </w:rPr>
        <w:t xml:space="preserve"> </w:t>
      </w:r>
      <w:r w:rsidR="006E0FFD" w:rsidRPr="00191DCF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9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</w:t>
        </w:r>
        <w:r w:rsidR="00541D3F" w:rsidRPr="00DE3E8A">
          <w:rPr>
            <w:rStyle w:val="Hipercze"/>
            <w:rFonts w:ascii="Arial" w:hAnsi="Arial" w:cs="Arial"/>
            <w:color w:val="0070C0"/>
            <w:u w:val="none"/>
          </w:rPr>
          <w:t xml:space="preserve"> </w:t>
        </w:r>
        <w:r w:rsidRPr="00DE3E8A">
          <w:rPr>
            <w:rStyle w:val="Hipercze"/>
            <w:rFonts w:ascii="Arial" w:hAnsi="Arial" w:cs="Arial"/>
            <w:color w:val="0070C0"/>
            <w:u w:val="none"/>
          </w:rPr>
          <w:t>@</w:t>
        </w:r>
        <w:r w:rsidR="00541D3F" w:rsidRPr="00541D3F">
          <w:rPr>
            <w:rStyle w:val="Hipercze"/>
            <w:rFonts w:ascii="Arial" w:hAnsi="Arial" w:cs="Arial"/>
            <w:color w:val="0070C0"/>
            <w:u w:val="none"/>
          </w:rPr>
          <w:t>gdansk</w:t>
        </w:r>
        <w:r w:rsidR="00541D3F">
          <w:rPr>
            <w:rStyle w:val="Hipercze"/>
            <w:rFonts w:ascii="Arial" w:hAnsi="Arial" w:cs="Arial"/>
            <w:color w:val="0070C0"/>
            <w:u w:val="none"/>
          </w:rPr>
          <w:t>.</w:t>
        </w:r>
        <w:r w:rsidRPr="00DE3E8A">
          <w:rPr>
            <w:rStyle w:val="Hipercze"/>
            <w:rFonts w:ascii="Arial" w:hAnsi="Arial" w:cs="Arial"/>
            <w:color w:val="0070C0"/>
            <w:u w:val="none"/>
          </w:rPr>
          <w:t>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0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="00A529B5">
        <w:rPr>
          <w:rFonts w:ascii="Arial" w:hAnsi="Arial" w:cs="Arial"/>
          <w:color w:val="00192F" w:themeColor="background2" w:themeShade="1A"/>
        </w:rPr>
        <w:t>4</w:t>
      </w:r>
      <w:r w:rsidRPr="009353B9">
        <w:rPr>
          <w:rFonts w:ascii="Arial" w:hAnsi="Arial" w:cs="Arial"/>
          <w:color w:val="00192F" w:themeColor="background2" w:themeShade="1A"/>
        </w:rPr>
        <w:t xml:space="preserve"> dni od dnia otrzymania pierwszej wersji opracowania; </w:t>
      </w:r>
    </w:p>
    <w:p w:rsidR="0093166B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</w:t>
      </w:r>
      <w:r w:rsidR="00DC552E">
        <w:rPr>
          <w:rFonts w:ascii="Arial" w:hAnsi="Arial" w:cs="Arial"/>
          <w:color w:val="00192F" w:themeColor="background2" w:themeShade="1A"/>
        </w:rPr>
        <w:t>5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dni </w:t>
      </w:r>
      <w:r w:rsidR="00DC552E">
        <w:rPr>
          <w:rFonts w:ascii="Arial" w:hAnsi="Arial" w:cs="Arial"/>
          <w:color w:val="00192F" w:themeColor="background2" w:themeShade="1A"/>
        </w:rPr>
        <w:t>roboczych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od otrzymania ewentualnych uwag Zamawiającego Wykonawca dokona niezbędnych zmian, uzupełni dokumentację;</w:t>
      </w:r>
    </w:p>
    <w:p w:rsidR="00F70489" w:rsidRPr="00F7048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A529B5">
        <w:rPr>
          <w:rFonts w:ascii="Arial" w:hAnsi="Arial" w:cs="Arial"/>
          <w:b/>
          <w:bCs/>
          <w:color w:val="00192F" w:themeColor="background2" w:themeShade="1A"/>
        </w:rPr>
        <w:t>25</w:t>
      </w:r>
      <w:r w:rsidR="001B6F25" w:rsidRPr="00191DCF">
        <w:rPr>
          <w:rFonts w:ascii="Arial" w:hAnsi="Arial" w:cs="Arial"/>
          <w:b/>
          <w:bCs/>
          <w:color w:val="00192F" w:themeColor="background2" w:themeShade="1A"/>
        </w:rPr>
        <w:t xml:space="preserve"> listopada 2022 r.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 xml:space="preserve"> 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yznacza </w:t>
      </w:r>
      <w:r w:rsidR="001B6F25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>swoich przedstawicieli:</w:t>
      </w:r>
      <w:r w:rsidR="006160D3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53931">
        <w:rPr>
          <w:rFonts w:ascii="Arial" w:eastAsia="Times New Roman" w:hAnsi="Arial" w:cs="Arial"/>
          <w:color w:val="00192F" w:themeColor="background2" w:themeShade="1A"/>
          <w:lang w:eastAsia="pl-PL"/>
        </w:rPr>
        <w:t>Agatę Lisowską</w:t>
      </w:r>
      <w:r w:rsidR="00DC552E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i</w:t>
      </w:r>
      <w:r w:rsidR="00DC552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53931">
        <w:rPr>
          <w:rFonts w:ascii="Arial" w:eastAsia="Times New Roman" w:hAnsi="Arial" w:cs="Arial"/>
          <w:color w:val="00192F" w:themeColor="background2" w:themeShade="1A"/>
          <w:lang w:eastAsia="pl-PL"/>
        </w:rPr>
        <w:t>Dorotę Siemion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1B6F25">
        <w:rPr>
          <w:rFonts w:ascii="Arial" w:hAnsi="Arial" w:cs="Arial"/>
          <w:color w:val="272D37" w:themeColor="text2" w:themeShade="80"/>
        </w:rPr>
        <w:t xml:space="preserve"> ze zm.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DC552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DC552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F456E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i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BA5C73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053B1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DC552E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552E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6128C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§ </w:t>
      </w:r>
      <w:r w:rsidR="006456C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1B6F25" w:rsidRPr="00153931" w:rsidRDefault="000C7CC0" w:rsidP="0015393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>
        <w:rPr>
          <w:rFonts w:ascii="Arial" w:hAnsi="Arial" w:cs="Arial"/>
          <w:color w:val="00192F" w:themeColor="background2" w:themeShade="1A"/>
        </w:rPr>
        <w:t>monitoringu</w:t>
      </w:r>
      <w:r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9723AC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154772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Łączna wysokość kar naliczonych przez Zamawiającego z przyczyn określonych w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>ust. 1</w:t>
      </w:r>
    </w:p>
    <w:p w:rsidR="0096128C" w:rsidRPr="0096128C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Cs/>
          <w:color w:val="272D37" w:themeColor="text2" w:themeShade="80"/>
          <w:lang w:eastAsia="pl-PL"/>
        </w:rPr>
        <w:t>i 2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 umowy nie może przekroczyć 20% wartości wynagrodzenia brutto określonego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br/>
        <w:t>w § 3 ust. 1.</w:t>
      </w:r>
    </w:p>
    <w:p w:rsidR="00440C5A" w:rsidRPr="0096128C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96128C">
        <w:rPr>
          <w:rFonts w:ascii="Arial" w:eastAsia="Times New Roman" w:hAnsi="Arial" w:cs="Arial"/>
          <w:b/>
          <w:color w:val="272D37" w:themeColor="text2" w:themeShade="80"/>
          <w:lang w:eastAsia="pl-PL"/>
        </w:rPr>
        <w:t xml:space="preserve"> 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8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</w:t>
      </w:r>
      <w:r w:rsidR="00F456E8">
        <w:rPr>
          <w:rFonts w:ascii="Arial" w:hAnsi="Arial" w:cs="Arial"/>
          <w:color w:val="272D37" w:themeColor="text2" w:themeShade="80"/>
        </w:rPr>
        <w:t>2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F456E8">
        <w:rPr>
          <w:rFonts w:ascii="Arial" w:hAnsi="Arial" w:cs="Arial"/>
          <w:color w:val="272D37" w:themeColor="text2" w:themeShade="80"/>
        </w:rPr>
        <w:t>1710</w:t>
      </w:r>
      <w:r w:rsidRPr="005755E0">
        <w:rPr>
          <w:rFonts w:ascii="Arial" w:hAnsi="Arial" w:cs="Arial"/>
          <w:color w:val="272D37" w:themeColor="text2" w:themeShade="80"/>
        </w:rPr>
        <w:t xml:space="preserve">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8823A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1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</w:t>
      </w:r>
      <w:r w:rsidR="0096128C">
        <w:rPr>
          <w:rFonts w:ascii="Arial" w:hAnsi="Arial" w:cs="Arial"/>
          <w:b/>
          <w:color w:val="272D37" w:themeColor="text2" w:themeShade="80"/>
          <w:lang w:eastAsia="ar-SA"/>
        </w:rPr>
        <w:t>1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Protok</w:t>
      </w:r>
      <w:r w:rsidR="00F456E8">
        <w:rPr>
          <w:rFonts w:ascii="Arial" w:eastAsia="Times New Roman" w:hAnsi="Arial" w:cs="Arial"/>
          <w:color w:val="00192F" w:themeColor="background2" w:themeShade="1A"/>
          <w:lang w:eastAsia="pl-PL"/>
        </w:rPr>
        <w:t>ó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ł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1D" w:rsidRDefault="00361A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61A1D">
      <w:rPr>
        <w:rFonts w:ascii="Arial" w:hAnsi="Arial" w:cs="Arial"/>
        <w:color w:val="2C3F71" w:themeColor="accent5" w:themeShade="80"/>
        <w:sz w:val="20"/>
        <w:szCs w:val="20"/>
      </w:rPr>
      <w:t>40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EE3A45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EE3A45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3A4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3A45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3B90139F" wp14:editId="214D980D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1D" w:rsidRDefault="00361A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F1B2023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78C0CC8"/>
    <w:multiLevelType w:val="hybridMultilevel"/>
    <w:tmpl w:val="21DE8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4BF8"/>
    <w:multiLevelType w:val="hybridMultilevel"/>
    <w:tmpl w:val="B5726F86"/>
    <w:lvl w:ilvl="0" w:tplc="33406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6"/>
  </w:num>
  <w:num w:numId="7">
    <w:abstractNumId w:val="41"/>
  </w:num>
  <w:num w:numId="8">
    <w:abstractNumId w:val="28"/>
  </w:num>
  <w:num w:numId="9">
    <w:abstractNumId w:val="18"/>
  </w:num>
  <w:num w:numId="10">
    <w:abstractNumId w:val="38"/>
  </w:num>
  <w:num w:numId="11">
    <w:abstractNumId w:val="4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2"/>
  </w:num>
  <w:num w:numId="18">
    <w:abstractNumId w:val="34"/>
  </w:num>
  <w:num w:numId="19">
    <w:abstractNumId w:val="8"/>
  </w:num>
  <w:num w:numId="20">
    <w:abstractNumId w:val="33"/>
  </w:num>
  <w:num w:numId="21">
    <w:abstractNumId w:val="37"/>
  </w:num>
  <w:num w:numId="22">
    <w:abstractNumId w:val="32"/>
  </w:num>
  <w:num w:numId="23">
    <w:abstractNumId w:val="9"/>
  </w:num>
  <w:num w:numId="24">
    <w:abstractNumId w:val="31"/>
  </w:num>
  <w:num w:numId="25">
    <w:abstractNumId w:val="39"/>
  </w:num>
  <w:num w:numId="26">
    <w:abstractNumId w:val="25"/>
  </w:num>
  <w:num w:numId="27">
    <w:abstractNumId w:val="22"/>
  </w:num>
  <w:num w:numId="28">
    <w:abstractNumId w:val="13"/>
  </w:num>
  <w:num w:numId="29">
    <w:abstractNumId w:val="1"/>
  </w:num>
  <w:num w:numId="30">
    <w:abstractNumId w:val="40"/>
  </w:num>
  <w:num w:numId="31">
    <w:abstractNumId w:val="15"/>
  </w:num>
  <w:num w:numId="32">
    <w:abstractNumId w:val="5"/>
  </w:num>
  <w:num w:numId="33">
    <w:abstractNumId w:val="24"/>
  </w:num>
  <w:num w:numId="34">
    <w:abstractNumId w:val="0"/>
  </w:num>
  <w:num w:numId="35">
    <w:abstractNumId w:val="30"/>
  </w:num>
  <w:num w:numId="36">
    <w:abstractNumId w:val="27"/>
  </w:num>
  <w:num w:numId="37">
    <w:abstractNumId w:val="10"/>
  </w:num>
  <w:num w:numId="38">
    <w:abstractNumId w:val="36"/>
  </w:num>
  <w:num w:numId="39">
    <w:abstractNumId w:val="29"/>
  </w:num>
  <w:num w:numId="40">
    <w:abstractNumId w:val="3"/>
  </w:num>
  <w:num w:numId="41">
    <w:abstractNumId w:val="11"/>
  </w:num>
  <w:num w:numId="42">
    <w:abstractNumId w:val="16"/>
  </w:num>
  <w:num w:numId="43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3931"/>
    <w:rsid w:val="00154772"/>
    <w:rsid w:val="00156730"/>
    <w:rsid w:val="001576C3"/>
    <w:rsid w:val="00162BD6"/>
    <w:rsid w:val="00166287"/>
    <w:rsid w:val="00166E89"/>
    <w:rsid w:val="00167B4F"/>
    <w:rsid w:val="00167D18"/>
    <w:rsid w:val="00170233"/>
    <w:rsid w:val="001705FB"/>
    <w:rsid w:val="00171017"/>
    <w:rsid w:val="00176A87"/>
    <w:rsid w:val="00182436"/>
    <w:rsid w:val="00183C4B"/>
    <w:rsid w:val="00184E55"/>
    <w:rsid w:val="00191D61"/>
    <w:rsid w:val="00191DCF"/>
    <w:rsid w:val="001B21C4"/>
    <w:rsid w:val="001B3286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61A1D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7B26"/>
    <w:rsid w:val="004B2B93"/>
    <w:rsid w:val="004D321D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1D3F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609"/>
    <w:rsid w:val="00600A4D"/>
    <w:rsid w:val="006023FD"/>
    <w:rsid w:val="006078E6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50F32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529B5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2CDA"/>
    <w:rsid w:val="00B93E7B"/>
    <w:rsid w:val="00B97FBA"/>
    <w:rsid w:val="00BA52D2"/>
    <w:rsid w:val="00BA5C73"/>
    <w:rsid w:val="00BA618B"/>
    <w:rsid w:val="00BA6C48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3883"/>
    <w:rsid w:val="00DC552E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3DB3"/>
    <w:rsid w:val="00ED4404"/>
    <w:rsid w:val="00EE2542"/>
    <w:rsid w:val="00EE3A45"/>
    <w:rsid w:val="00EF676F"/>
    <w:rsid w:val="00F04752"/>
    <w:rsid w:val="00F07886"/>
    <w:rsid w:val="00F30008"/>
    <w:rsid w:val="00F37EB4"/>
    <w:rsid w:val="00F456E8"/>
    <w:rsid w:val="00F46274"/>
    <w:rsid w:val="00F466BA"/>
    <w:rsid w:val="00F50472"/>
    <w:rsid w:val="00F55EEC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dansk.rdos.gov.pl/system-zarzadzania-srodowiskowego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gdalena.rusiniak.gdansk@rdos.gov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57508-5F17-45A9-81EE-1DAEAC0BD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10</Pages>
  <Words>3667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27</cp:revision>
  <cp:lastPrinted>2022-09-21T10:47:00Z</cp:lastPrinted>
  <dcterms:created xsi:type="dcterms:W3CDTF">2022-05-13T07:44:00Z</dcterms:created>
  <dcterms:modified xsi:type="dcterms:W3CDTF">2022-09-21T10:47:00Z</dcterms:modified>
</cp:coreProperties>
</file>